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tbl>
      <w:tblPr>
        <w:tblW w:w="9356" w:type="dxa"/>
        <w:tblInd w:w="14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56"/>
      </w:tblGrid>
      <w:tr w:rsidR="00AF5315" w:rsidRPr="00531E2E" w14:paraId="583DBB03" w14:textId="77777777" w:rsidTr="005B15E0">
        <w:trPr>
          <w:cantSplit/>
          <w:trHeight w:val="20"/>
        </w:trPr>
        <w:tc>
          <w:tcPr>
            <w:tcW w:w="9356" w:type="dxa"/>
            <w:shd w:val="clear" w:color="auto" w:fill="F2F2F2" w:themeFill="background1" w:themeFillShade="F2"/>
            <w:noWrap/>
          </w:tcPr>
          <w:p w14:paraId="397F005D" w14:textId="77777777" w:rsidR="00AF5315" w:rsidRPr="00531E2E" w:rsidRDefault="00AF5315" w:rsidP="00460C27">
            <w:pPr>
              <w:pStyle w:val="Texto"/>
              <w:spacing w:line="240" w:lineRule="auto"/>
              <w:ind w:firstLine="0"/>
              <w:rPr>
                <w:rFonts w:ascii="Montserrat" w:hAnsi="Montserrat"/>
                <w:b/>
                <w:sz w:val="20"/>
                <w:lang w:eastAsia="es-MX"/>
              </w:rPr>
            </w:pPr>
            <w:r>
              <w:rPr>
                <w:rFonts w:ascii="Montserrat" w:hAnsi="Montserrat"/>
                <w:b/>
                <w:sz w:val="20"/>
                <w:lang w:eastAsia="es-MX"/>
              </w:rPr>
              <w:t>C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ON EL OBJETO DE CONTRIBUIR A LA 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 xml:space="preserve">IMPLEMENTACIÓN DE LA ESTRATEGIA NACIONAL DE MEJORA DE LAS ESCUELAS NORMALES Y LA 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CONSOLIDACIÓN DE UN SISTEMA ESTATAL DE EDUCACIÓN NORMAL DE BUENA CALIDAD 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>QUE IMPULSE EL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 MEJORAMIENTO DE LAS 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>I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NSTITUCIONES 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>DE FORMACIÓN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 xml:space="preserve">DOCENTE PÚBLICAS 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>QUE L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>AS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 INTEGRAN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>, LA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 SUBSECRETARÍA DE EDUCACIÓN SUPERIOR 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 xml:space="preserve">POR CONDUCTO DE LA 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>DIRECCIÓN GENERAL DE EDUCACIÓN SUPERIOR PARA EL MAGISTERIO (DGESuM)</w:t>
            </w:r>
            <w:r>
              <w:rPr>
                <w:rFonts w:ascii="Montserrat" w:hAnsi="Montserrat"/>
                <w:b/>
                <w:sz w:val="20"/>
                <w:lang w:eastAsia="es-MX"/>
              </w:rPr>
              <w:t>:</w:t>
            </w:r>
            <w:r w:rsidRPr="00531E2E">
              <w:rPr>
                <w:rFonts w:ascii="Montserrat" w:hAnsi="Montserrat"/>
                <w:b/>
                <w:sz w:val="20"/>
                <w:lang w:eastAsia="es-MX"/>
              </w:rPr>
              <w:t xml:space="preserve"> </w:t>
            </w:r>
          </w:p>
        </w:tc>
      </w:tr>
    </w:tbl>
    <w:p w14:paraId="533C4A04" w14:textId="77777777" w:rsidR="00AF5315" w:rsidRPr="00531E2E" w:rsidRDefault="00AF5315" w:rsidP="00AF5315">
      <w:pPr>
        <w:pStyle w:val="Texto"/>
        <w:spacing w:line="240" w:lineRule="auto"/>
        <w:ind w:firstLine="0"/>
        <w:rPr>
          <w:rFonts w:ascii="Montserrat" w:hAnsi="Montserrat"/>
          <w:b/>
          <w:sz w:val="20"/>
          <w:lang w:eastAsia="es-MX"/>
        </w:rPr>
      </w:pPr>
    </w:p>
    <w:tbl>
      <w:tblPr>
        <w:tblStyle w:val="Tabladelista2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</w:tblGrid>
      <w:tr w:rsidR="00AF5315" w:rsidRPr="00531E2E" w14:paraId="00A61431" w14:textId="77777777" w:rsidTr="005B1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</w:tcPr>
          <w:p w14:paraId="4AF052D2" w14:textId="77777777" w:rsidR="00AF5315" w:rsidRPr="00531E2E" w:rsidRDefault="00AF5315" w:rsidP="00460C27">
            <w:pPr>
              <w:pStyle w:val="Default"/>
              <w:jc w:val="center"/>
              <w:rPr>
                <w:rFonts w:ascii="Montserrat" w:hAnsi="Montserrat" w:cs="Arial"/>
                <w:color w:val="auto"/>
                <w:sz w:val="20"/>
              </w:rPr>
            </w:pPr>
            <w:bookmarkStart w:id="0" w:name="_Hlk155692474"/>
            <w:r w:rsidRPr="00531E2E">
              <w:rPr>
                <w:rFonts w:ascii="Montserrat" w:hAnsi="Montserrat" w:cs="Arial"/>
                <w:color w:val="auto"/>
                <w:sz w:val="20"/>
              </w:rPr>
              <w:t>C</w:t>
            </w:r>
            <w:r>
              <w:rPr>
                <w:rFonts w:ascii="Montserrat" w:hAnsi="Montserrat" w:cs="Arial"/>
                <w:color w:val="auto"/>
                <w:sz w:val="20"/>
              </w:rPr>
              <w:t>ONVOCAN</w:t>
            </w:r>
          </w:p>
        </w:tc>
      </w:tr>
      <w:bookmarkEnd w:id="0"/>
    </w:tbl>
    <w:p w14:paraId="7E613D5D" w14:textId="77777777" w:rsidR="00AF5315" w:rsidRPr="00531E2E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p w14:paraId="737C275F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 xml:space="preserve">A las Autoridades Educativas Locales (AEL), la Autoridad Educativa Federal en la Ciudad de México (AEFCM), y </w:t>
      </w:r>
      <w:r>
        <w:rPr>
          <w:rFonts w:ascii="Montserrat" w:hAnsi="Montserrat"/>
          <w:sz w:val="20"/>
          <w:lang w:eastAsia="es-MX"/>
        </w:rPr>
        <w:t xml:space="preserve">a </w:t>
      </w:r>
      <w:r w:rsidRPr="00531E2E">
        <w:rPr>
          <w:rFonts w:ascii="Montserrat" w:hAnsi="Montserrat"/>
          <w:sz w:val="20"/>
          <w:lang w:eastAsia="es-MX"/>
        </w:rPr>
        <w:t>las Instituciones de Formación Docente Públicas</w:t>
      </w:r>
      <w:r>
        <w:rPr>
          <w:rFonts w:ascii="Montserrat" w:hAnsi="Montserrat"/>
          <w:sz w:val="20"/>
          <w:lang w:eastAsia="es-MX"/>
        </w:rPr>
        <w:t xml:space="preserve"> del país</w:t>
      </w:r>
      <w:r w:rsidRPr="00531E2E">
        <w:rPr>
          <w:rFonts w:ascii="Montserrat" w:hAnsi="Montserrat"/>
          <w:sz w:val="20"/>
          <w:lang w:eastAsia="es-MX"/>
        </w:rPr>
        <w:t xml:space="preserve"> </w:t>
      </w:r>
      <w:r>
        <w:rPr>
          <w:rFonts w:ascii="Montserrat" w:hAnsi="Montserrat"/>
          <w:sz w:val="20"/>
          <w:lang w:eastAsia="es-MX"/>
        </w:rPr>
        <w:t xml:space="preserve">(IFDP) </w:t>
      </w:r>
      <w:r w:rsidRPr="00531E2E">
        <w:rPr>
          <w:rFonts w:ascii="Montserrat" w:hAnsi="Montserrat"/>
          <w:sz w:val="20"/>
          <w:lang w:eastAsia="es-MX"/>
        </w:rPr>
        <w:t xml:space="preserve">que integran los </w:t>
      </w:r>
      <w:r>
        <w:rPr>
          <w:rFonts w:ascii="Montserrat" w:hAnsi="Montserrat"/>
          <w:sz w:val="20"/>
          <w:lang w:eastAsia="es-MX"/>
        </w:rPr>
        <w:t>S</w:t>
      </w:r>
      <w:r w:rsidRPr="00531E2E">
        <w:rPr>
          <w:rFonts w:ascii="Montserrat" w:hAnsi="Montserrat"/>
          <w:sz w:val="20"/>
          <w:lang w:eastAsia="es-MX"/>
        </w:rPr>
        <w:t xml:space="preserve">istemas de </w:t>
      </w:r>
      <w:r>
        <w:rPr>
          <w:rFonts w:ascii="Montserrat" w:hAnsi="Montserrat"/>
          <w:sz w:val="20"/>
          <w:lang w:eastAsia="es-MX"/>
        </w:rPr>
        <w:t>E</w:t>
      </w:r>
      <w:r w:rsidRPr="00531E2E">
        <w:rPr>
          <w:rFonts w:ascii="Montserrat" w:hAnsi="Montserrat"/>
          <w:sz w:val="20"/>
          <w:lang w:eastAsia="es-MX"/>
        </w:rPr>
        <w:t xml:space="preserve">ducación </w:t>
      </w:r>
      <w:r>
        <w:rPr>
          <w:rFonts w:ascii="Montserrat" w:hAnsi="Montserrat"/>
          <w:sz w:val="20"/>
          <w:lang w:eastAsia="es-MX"/>
        </w:rPr>
        <w:t>N</w:t>
      </w:r>
      <w:r w:rsidRPr="00531E2E">
        <w:rPr>
          <w:rFonts w:ascii="Montserrat" w:hAnsi="Montserrat"/>
          <w:sz w:val="20"/>
          <w:lang w:eastAsia="es-MX"/>
        </w:rPr>
        <w:t xml:space="preserve">ormal en las entidades federativas y la Ciudad de México a </w:t>
      </w:r>
      <w:r>
        <w:rPr>
          <w:rFonts w:ascii="Montserrat" w:hAnsi="Montserrat"/>
          <w:sz w:val="20"/>
          <w:lang w:eastAsia="es-MX"/>
        </w:rPr>
        <w:t>concursar</w:t>
      </w:r>
      <w:r w:rsidRPr="00531E2E">
        <w:rPr>
          <w:rFonts w:ascii="Montserrat" w:hAnsi="Montserrat"/>
          <w:sz w:val="20"/>
          <w:lang w:eastAsia="es-MX"/>
        </w:rPr>
        <w:t xml:space="preserve"> </w:t>
      </w:r>
      <w:r>
        <w:rPr>
          <w:rFonts w:ascii="Montserrat" w:hAnsi="Montserrat"/>
          <w:sz w:val="20"/>
          <w:lang w:eastAsia="es-MX"/>
        </w:rPr>
        <w:t>p</w:t>
      </w:r>
      <w:r w:rsidRPr="00531E2E">
        <w:rPr>
          <w:rFonts w:ascii="Montserrat" w:hAnsi="Montserrat"/>
          <w:sz w:val="20"/>
          <w:lang w:eastAsia="es-MX"/>
        </w:rPr>
        <w:t>a</w:t>
      </w:r>
      <w:r>
        <w:rPr>
          <w:rFonts w:ascii="Montserrat" w:hAnsi="Montserrat"/>
          <w:sz w:val="20"/>
          <w:lang w:eastAsia="es-MX"/>
        </w:rPr>
        <w:t>ra</w:t>
      </w:r>
      <w:r w:rsidRPr="00531E2E">
        <w:rPr>
          <w:rFonts w:ascii="Montserrat" w:hAnsi="Montserrat"/>
          <w:sz w:val="20"/>
          <w:lang w:eastAsia="es-MX"/>
        </w:rPr>
        <w:t xml:space="preserve"> obtener los beneficios del Programa </w:t>
      </w:r>
      <w:r>
        <w:rPr>
          <w:rFonts w:ascii="Montserrat" w:hAnsi="Montserrat"/>
          <w:sz w:val="20"/>
          <w:lang w:eastAsia="es-MX"/>
        </w:rPr>
        <w:t xml:space="preserve">Presupuestario S300 Fortalecimiento a la Excelencia Educativa en el cual se integra la Estrategia de Desarrollo Institucional de la Escuela Normal (EDINEN) 2024 y 2025, </w:t>
      </w:r>
      <w:r w:rsidRPr="00531E2E">
        <w:rPr>
          <w:rFonts w:ascii="Montserrat" w:hAnsi="Montserrat"/>
          <w:sz w:val="20"/>
          <w:lang w:eastAsia="es-MX"/>
        </w:rPr>
        <w:t>con base en los siguientes:</w:t>
      </w:r>
    </w:p>
    <w:p w14:paraId="7CFF665D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tbl>
      <w:tblPr>
        <w:tblStyle w:val="Tabladelista2"/>
        <w:tblW w:w="0" w:type="auto"/>
        <w:jc w:val="center"/>
        <w:tblBorders>
          <w:top w:val="single" w:sz="4" w:space="0" w:color="auto"/>
          <w:bottom w:val="single" w:sz="4" w:space="0" w:color="auto"/>
          <w:insideH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</w:tblGrid>
      <w:tr w:rsidR="00AF5315" w:rsidRPr="00531E2E" w14:paraId="3D878479" w14:textId="77777777" w:rsidTr="005B1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2F2F2" w:themeFill="background1" w:themeFillShade="F2"/>
          </w:tcPr>
          <w:p w14:paraId="6D06EB8D" w14:textId="77777777" w:rsidR="00AF5315" w:rsidRPr="00531E2E" w:rsidRDefault="00AF5315" w:rsidP="00460C27">
            <w:pPr>
              <w:pStyle w:val="Default"/>
              <w:jc w:val="center"/>
              <w:rPr>
                <w:rFonts w:ascii="Montserrat" w:hAnsi="Montserrat" w:cs="Arial"/>
                <w:color w:val="auto"/>
                <w:sz w:val="20"/>
              </w:rPr>
            </w:pPr>
            <w:r>
              <w:rPr>
                <w:rFonts w:ascii="Montserrat" w:hAnsi="Montserrat" w:cs="Arial"/>
                <w:color w:val="auto"/>
                <w:sz w:val="20"/>
              </w:rPr>
              <w:t>REQUISITOS DE PARTICIPACIÓN</w:t>
            </w:r>
          </w:p>
        </w:tc>
      </w:tr>
    </w:tbl>
    <w:p w14:paraId="12F1E05D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p w14:paraId="6439116C" w14:textId="77777777" w:rsidR="00AF5315" w:rsidRPr="00531E2E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>Las (AEL), y la (AEFCM) para el caso de la Ciudad de México, y las Instituciones de Formación Docente Públicas que deseen participar en el proceso de selección, deberán cumplir con los siguientes requisitos:</w:t>
      </w:r>
    </w:p>
    <w:p w14:paraId="7C5E3A91" w14:textId="77777777" w:rsidR="00AF5315" w:rsidRDefault="00AF5315" w:rsidP="00AF5315">
      <w:pPr>
        <w:pStyle w:val="Texto"/>
        <w:numPr>
          <w:ilvl w:val="0"/>
          <w:numId w:val="1"/>
        </w:numPr>
        <w:spacing w:line="240" w:lineRule="auto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 xml:space="preserve">Ser </w:t>
      </w:r>
      <w:r>
        <w:rPr>
          <w:rFonts w:ascii="Montserrat" w:hAnsi="Montserrat"/>
          <w:sz w:val="20"/>
          <w:lang w:eastAsia="es-MX"/>
        </w:rPr>
        <w:t>A</w:t>
      </w:r>
      <w:r w:rsidRPr="00531E2E">
        <w:rPr>
          <w:rFonts w:ascii="Montserrat" w:hAnsi="Montserrat"/>
          <w:sz w:val="20"/>
          <w:lang w:eastAsia="es-MX"/>
        </w:rPr>
        <w:t xml:space="preserve">utoridad </w:t>
      </w:r>
      <w:r>
        <w:rPr>
          <w:rFonts w:ascii="Montserrat" w:hAnsi="Montserrat"/>
          <w:sz w:val="20"/>
          <w:lang w:eastAsia="es-MX"/>
        </w:rPr>
        <w:t>E</w:t>
      </w:r>
      <w:r w:rsidRPr="00531E2E">
        <w:rPr>
          <w:rFonts w:ascii="Montserrat" w:hAnsi="Montserrat"/>
          <w:sz w:val="20"/>
          <w:lang w:eastAsia="es-MX"/>
        </w:rPr>
        <w:t xml:space="preserve">ducativa </w:t>
      </w:r>
      <w:r>
        <w:rPr>
          <w:rFonts w:ascii="Montserrat" w:hAnsi="Montserrat"/>
          <w:sz w:val="20"/>
          <w:lang w:eastAsia="es-MX"/>
        </w:rPr>
        <w:t>L</w:t>
      </w:r>
      <w:r w:rsidRPr="00531E2E">
        <w:rPr>
          <w:rFonts w:ascii="Montserrat" w:hAnsi="Montserrat"/>
          <w:sz w:val="20"/>
          <w:lang w:eastAsia="es-MX"/>
        </w:rPr>
        <w:t xml:space="preserve">ocal con </w:t>
      </w:r>
      <w:r w:rsidRPr="00531E2E">
        <w:rPr>
          <w:rFonts w:ascii="Montserrat" w:hAnsi="Montserrat"/>
          <w:sz w:val="20"/>
        </w:rPr>
        <w:t xml:space="preserve">Instituciones de Formación Docente </w:t>
      </w:r>
      <w:r w:rsidRPr="00531E2E">
        <w:rPr>
          <w:rFonts w:ascii="Montserrat" w:hAnsi="Montserrat"/>
          <w:sz w:val="20"/>
          <w:lang w:eastAsia="es-MX"/>
        </w:rPr>
        <w:t xml:space="preserve">Públicas </w:t>
      </w:r>
      <w:r>
        <w:rPr>
          <w:rFonts w:ascii="Montserrat" w:hAnsi="Montserrat"/>
          <w:sz w:val="20"/>
          <w:lang w:eastAsia="es-MX"/>
        </w:rPr>
        <w:t xml:space="preserve">(IFDP) </w:t>
      </w:r>
      <w:r w:rsidRPr="00531E2E">
        <w:rPr>
          <w:rFonts w:ascii="Montserrat" w:hAnsi="Montserrat"/>
          <w:sz w:val="20"/>
          <w:lang w:eastAsia="es-MX"/>
        </w:rPr>
        <w:t>que oferten los servicios de educación para la formación inicial de maestras y maestros.</w:t>
      </w:r>
    </w:p>
    <w:p w14:paraId="45F9C0D1" w14:textId="77777777" w:rsidR="00AF5315" w:rsidRPr="00531E2E" w:rsidRDefault="00AF5315" w:rsidP="00AF5315">
      <w:pPr>
        <w:pStyle w:val="Texto"/>
        <w:numPr>
          <w:ilvl w:val="0"/>
          <w:numId w:val="1"/>
        </w:numPr>
        <w:spacing w:line="240" w:lineRule="auto"/>
        <w:rPr>
          <w:rFonts w:ascii="Montserrat" w:hAnsi="Montserrat"/>
          <w:sz w:val="20"/>
          <w:lang w:eastAsia="es-MX"/>
        </w:rPr>
      </w:pPr>
      <w:r>
        <w:rPr>
          <w:rFonts w:ascii="Montserrat" w:hAnsi="Montserrat"/>
          <w:sz w:val="20"/>
          <w:lang w:eastAsia="es-MX"/>
        </w:rPr>
        <w:t xml:space="preserve">Ser </w:t>
      </w:r>
      <w:r w:rsidRPr="00531E2E">
        <w:rPr>
          <w:rFonts w:ascii="Montserrat" w:hAnsi="Montserrat"/>
          <w:sz w:val="20"/>
          <w:lang w:eastAsia="es-MX"/>
        </w:rPr>
        <w:t>IFDP que oferte los servicios de educación para la formación inicial de maestras y maestros de educación básica, conforme a los planes y programas de estudio establecidos por la “SEP” en la modalidad escolarizada y mixta.</w:t>
      </w:r>
    </w:p>
    <w:p w14:paraId="1966DA62" w14:textId="77777777" w:rsidR="00AF5315" w:rsidRPr="00531E2E" w:rsidRDefault="00AF5315" w:rsidP="00AF5315">
      <w:pPr>
        <w:pStyle w:val="Texto"/>
        <w:numPr>
          <w:ilvl w:val="0"/>
          <w:numId w:val="1"/>
        </w:numPr>
        <w:spacing w:line="240" w:lineRule="auto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>Participar en las actividades que se programen, relacionadas con la implementación del Programa, tanto las referidas a la actualización y capacitación, como al seguimiento y evaluación.</w:t>
      </w:r>
    </w:p>
    <w:p w14:paraId="19D4ADE2" w14:textId="77777777" w:rsidR="00AF5315" w:rsidRPr="00531E2E" w:rsidRDefault="00AF5315" w:rsidP="00AF5315">
      <w:pPr>
        <w:pStyle w:val="Texto"/>
        <w:numPr>
          <w:ilvl w:val="0"/>
          <w:numId w:val="1"/>
        </w:numPr>
        <w:spacing w:line="240" w:lineRule="auto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 xml:space="preserve">Entregar a la “DGESuM” la </w:t>
      </w:r>
      <w:r>
        <w:rPr>
          <w:rFonts w:ascii="Montserrat" w:hAnsi="Montserrat"/>
          <w:sz w:val="20"/>
          <w:lang w:eastAsia="es-MX"/>
        </w:rPr>
        <w:t>Adecuación</w:t>
      </w:r>
      <w:r w:rsidRPr="00531E2E">
        <w:rPr>
          <w:rFonts w:ascii="Montserrat" w:hAnsi="Montserrat"/>
          <w:sz w:val="20"/>
          <w:lang w:eastAsia="es-MX"/>
        </w:rPr>
        <w:t xml:space="preserve"> de los ProGEN y ProFEN, y proyectos integrales que los constituyen correspondientes al ejercicio fiscal </w:t>
      </w:r>
      <w:r>
        <w:rPr>
          <w:rFonts w:ascii="Montserrat" w:hAnsi="Montserrat"/>
          <w:sz w:val="20"/>
          <w:lang w:eastAsia="es-MX"/>
        </w:rPr>
        <w:t>2025</w:t>
      </w:r>
      <w:r w:rsidRPr="00531E2E">
        <w:rPr>
          <w:rFonts w:ascii="Montserrat" w:hAnsi="Montserrat"/>
          <w:sz w:val="20"/>
          <w:lang w:eastAsia="es-MX"/>
        </w:rPr>
        <w:t>, especificando las metas y acciones a realizar en función de los objetivos</w:t>
      </w:r>
      <w:r>
        <w:rPr>
          <w:rFonts w:ascii="Montserrat" w:hAnsi="Montserrat"/>
          <w:sz w:val="20"/>
          <w:lang w:eastAsia="es-MX"/>
        </w:rPr>
        <w:t xml:space="preserve"> desarrollados en la primera etapa de operación</w:t>
      </w:r>
      <w:r w:rsidRPr="00531E2E">
        <w:rPr>
          <w:rFonts w:ascii="Montserrat" w:hAnsi="Montserrat"/>
          <w:sz w:val="20"/>
          <w:lang w:eastAsia="es-MX"/>
        </w:rPr>
        <w:t>.</w:t>
      </w:r>
    </w:p>
    <w:p w14:paraId="0F1F6722" w14:textId="77777777" w:rsidR="00AF5315" w:rsidRDefault="00AF5315" w:rsidP="00AF5315">
      <w:pPr>
        <w:pStyle w:val="Texto"/>
        <w:numPr>
          <w:ilvl w:val="0"/>
          <w:numId w:val="1"/>
        </w:numPr>
        <w:spacing w:line="240" w:lineRule="auto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>Estar al corriente con la entrega de los informes trimestrales y los avances técnicos de las metas, así como el reporte final del ejercicio de los recursos recibidos correspondientes a ejercicios anteriores del Programa.</w:t>
      </w:r>
    </w:p>
    <w:p w14:paraId="7EF3781A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 xml:space="preserve">Para participar las AEL, la AEFCM y las IFDP se apegarán a las disposiciones establecidas en las Reglas de Operación y en </w:t>
      </w:r>
      <w:r>
        <w:rPr>
          <w:rFonts w:ascii="Montserrat" w:hAnsi="Montserrat"/>
          <w:sz w:val="20"/>
          <w:lang w:eastAsia="es-MX"/>
        </w:rPr>
        <w:t>los documentos normativos</w:t>
      </w:r>
      <w:r w:rsidRPr="00531E2E">
        <w:rPr>
          <w:rFonts w:ascii="Montserrat" w:hAnsi="Montserrat"/>
          <w:sz w:val="20"/>
          <w:lang w:eastAsia="es-MX"/>
        </w:rPr>
        <w:t xml:space="preserve"> que, para su ejecución</w:t>
      </w:r>
      <w:r>
        <w:rPr>
          <w:rFonts w:ascii="Montserrat" w:hAnsi="Montserrat"/>
          <w:sz w:val="20"/>
          <w:lang w:eastAsia="es-MX"/>
        </w:rPr>
        <w:t xml:space="preserve"> </w:t>
      </w:r>
      <w:r w:rsidRPr="00531E2E">
        <w:rPr>
          <w:rFonts w:ascii="Montserrat" w:hAnsi="Montserrat"/>
          <w:sz w:val="20"/>
          <w:lang w:eastAsia="es-MX"/>
        </w:rPr>
        <w:t>se incluyan en los documentos y materiales de apoyo elaborados para tal fin</w:t>
      </w:r>
      <w:r>
        <w:rPr>
          <w:rFonts w:ascii="Montserrat" w:hAnsi="Montserrat"/>
          <w:sz w:val="20"/>
          <w:lang w:eastAsia="es-MX"/>
        </w:rPr>
        <w:t xml:space="preserve"> con las siguientes: </w:t>
      </w:r>
    </w:p>
    <w:p w14:paraId="3262D339" w14:textId="77777777" w:rsidR="005B15E0" w:rsidRDefault="005B15E0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p w14:paraId="5D538729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tbl>
      <w:tblPr>
        <w:tblStyle w:val="Tabladelista2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</w:tblGrid>
      <w:tr w:rsidR="00AF5315" w:rsidRPr="00531E2E" w14:paraId="71F40A10" w14:textId="77777777" w:rsidTr="005B1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</w:tcPr>
          <w:p w14:paraId="68752AB3" w14:textId="77777777" w:rsidR="00AF5315" w:rsidRPr="00531E2E" w:rsidRDefault="00AF5315" w:rsidP="00460C27">
            <w:pPr>
              <w:pStyle w:val="Default"/>
              <w:jc w:val="center"/>
              <w:rPr>
                <w:rFonts w:ascii="Montserrat" w:hAnsi="Montserrat" w:cs="Arial"/>
                <w:color w:val="auto"/>
                <w:sz w:val="20"/>
              </w:rPr>
            </w:pPr>
            <w:bookmarkStart w:id="1" w:name="_Hlk155695187"/>
            <w:r>
              <w:rPr>
                <w:rFonts w:ascii="Montserrat" w:hAnsi="Montserrat" w:cs="Arial"/>
                <w:color w:val="auto"/>
                <w:sz w:val="20"/>
              </w:rPr>
              <w:lastRenderedPageBreak/>
              <w:t>BASES</w:t>
            </w:r>
          </w:p>
        </w:tc>
      </w:tr>
      <w:bookmarkEnd w:id="1"/>
    </w:tbl>
    <w:p w14:paraId="3A32FD60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p w14:paraId="512F2590" w14:textId="2CD6DC32" w:rsidR="00AF5315" w:rsidRPr="00531E2E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b/>
          <w:sz w:val="20"/>
          <w:lang w:eastAsia="es-MX"/>
        </w:rPr>
        <w:t xml:space="preserve">I. </w:t>
      </w:r>
      <w:r>
        <w:rPr>
          <w:rFonts w:ascii="Montserrat" w:hAnsi="Montserrat"/>
          <w:sz w:val="20"/>
          <w:lang w:eastAsia="es-MX"/>
        </w:rPr>
        <w:t xml:space="preserve">Apegarse a las disposiciones </w:t>
      </w:r>
      <w:r w:rsidR="005B15E0">
        <w:rPr>
          <w:rFonts w:ascii="Montserrat" w:hAnsi="Montserrat"/>
          <w:sz w:val="20"/>
          <w:lang w:eastAsia="es-MX"/>
        </w:rPr>
        <w:t>establecidas en</w:t>
      </w:r>
      <w:r>
        <w:rPr>
          <w:rFonts w:ascii="Montserrat" w:hAnsi="Montserrat"/>
          <w:sz w:val="20"/>
          <w:lang w:eastAsia="es-MX"/>
        </w:rPr>
        <w:t xml:space="preserve"> </w:t>
      </w:r>
      <w:r w:rsidRPr="00531E2E">
        <w:rPr>
          <w:rFonts w:ascii="Montserrat" w:hAnsi="Montserrat"/>
          <w:sz w:val="20"/>
          <w:lang w:eastAsia="es-MX"/>
        </w:rPr>
        <w:t>las Reglas de Operación del Programa Fortalecimiento a la Excelencia Educativa publicadas en el Diario Oficial de la Federación el</w:t>
      </w:r>
      <w:r>
        <w:rPr>
          <w:rFonts w:ascii="Montserrat" w:hAnsi="Montserrat"/>
          <w:sz w:val="20"/>
          <w:lang w:eastAsia="es-MX"/>
        </w:rPr>
        <w:t xml:space="preserve"> ___ de ______ del ____ mediante acuerdo número (día/mes/año/</w:t>
      </w:r>
      <w:r w:rsidRPr="00531E2E">
        <w:rPr>
          <w:rFonts w:ascii="Montserrat" w:hAnsi="Montserrat"/>
          <w:sz w:val="20"/>
          <w:lang w:eastAsia="es-MX"/>
        </w:rPr>
        <w:t>.</w:t>
      </w:r>
    </w:p>
    <w:p w14:paraId="18C0EF6A" w14:textId="16B8CE8E" w:rsidR="00AF5315" w:rsidRPr="00531E2E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531E2E">
        <w:rPr>
          <w:rFonts w:ascii="Montserrat" w:hAnsi="Montserrat"/>
          <w:b/>
          <w:sz w:val="20"/>
          <w:lang w:eastAsia="es-MX"/>
        </w:rPr>
        <w:t xml:space="preserve">II. </w:t>
      </w:r>
      <w:r>
        <w:rPr>
          <w:rFonts w:ascii="Montserrat" w:hAnsi="Montserrat"/>
          <w:bCs/>
          <w:sz w:val="20"/>
          <w:lang w:eastAsia="es-MX"/>
        </w:rPr>
        <w:t>P</w:t>
      </w:r>
      <w:r w:rsidRPr="00531E2E">
        <w:rPr>
          <w:rFonts w:ascii="Montserrat" w:hAnsi="Montserrat"/>
          <w:sz w:val="20"/>
          <w:lang w:eastAsia="es-MX"/>
        </w:rPr>
        <w:t>ara la formulación de l</w:t>
      </w:r>
      <w:r>
        <w:rPr>
          <w:rFonts w:ascii="Montserrat" w:hAnsi="Montserrat"/>
          <w:sz w:val="20"/>
          <w:lang w:eastAsia="es-MX"/>
        </w:rPr>
        <w:t xml:space="preserve">os documentos de la </w:t>
      </w:r>
      <w:r w:rsidR="00C14D96">
        <w:rPr>
          <w:rFonts w:ascii="Montserrat" w:hAnsi="Montserrat"/>
          <w:sz w:val="20"/>
          <w:lang w:eastAsia="es-MX"/>
        </w:rPr>
        <w:t>A</w:t>
      </w:r>
      <w:r>
        <w:rPr>
          <w:rFonts w:ascii="Montserrat" w:hAnsi="Montserrat"/>
          <w:sz w:val="20"/>
          <w:lang w:eastAsia="es-MX"/>
        </w:rPr>
        <w:t>decuación</w:t>
      </w:r>
      <w:r w:rsidRPr="00531E2E">
        <w:rPr>
          <w:rFonts w:ascii="Montserrat" w:hAnsi="Montserrat"/>
          <w:sz w:val="20"/>
          <w:lang w:eastAsia="es-MX"/>
        </w:rPr>
        <w:t xml:space="preserve"> de los ProGEN y ProFEN, y proyectos integrales que los constituyen, </w:t>
      </w:r>
      <w:r>
        <w:rPr>
          <w:rFonts w:ascii="Montserrat" w:hAnsi="Montserrat"/>
          <w:sz w:val="20"/>
          <w:lang w:eastAsia="es-MX"/>
        </w:rPr>
        <w:t xml:space="preserve">los interesados </w:t>
      </w:r>
      <w:r w:rsidR="005B15E0">
        <w:rPr>
          <w:rFonts w:ascii="Montserrat" w:hAnsi="Montserrat"/>
          <w:sz w:val="20"/>
          <w:lang w:eastAsia="es-MX"/>
        </w:rPr>
        <w:t xml:space="preserve">en participar </w:t>
      </w:r>
      <w:r>
        <w:rPr>
          <w:rFonts w:ascii="Montserrat" w:hAnsi="Montserrat"/>
          <w:sz w:val="20"/>
          <w:lang w:eastAsia="es-MX"/>
        </w:rPr>
        <w:t xml:space="preserve">deberán sujetarse a la metodología y lineamientos establecidos en </w:t>
      </w:r>
      <w:r w:rsidRPr="00531E2E">
        <w:rPr>
          <w:rFonts w:ascii="Montserrat" w:hAnsi="Montserrat"/>
          <w:sz w:val="20"/>
          <w:lang w:eastAsia="es-MX"/>
        </w:rPr>
        <w:t>la Guía Metodológica de Operación de la EDINEN</w:t>
      </w:r>
      <w:r>
        <w:rPr>
          <w:rFonts w:ascii="Montserrat" w:hAnsi="Montserrat"/>
          <w:sz w:val="20"/>
          <w:lang w:eastAsia="es-MX"/>
        </w:rPr>
        <w:t xml:space="preserve"> 2024 y 2025 así como en los L</w:t>
      </w:r>
      <w:r w:rsidRPr="00BB6A27">
        <w:rPr>
          <w:rFonts w:ascii="Montserrat" w:hAnsi="Montserrat"/>
          <w:sz w:val="20"/>
          <w:lang w:eastAsia="es-MX"/>
        </w:rPr>
        <w:t xml:space="preserve">ineamientos de la </w:t>
      </w:r>
      <w:r>
        <w:rPr>
          <w:rFonts w:ascii="Montserrat" w:hAnsi="Montserrat"/>
          <w:sz w:val="20"/>
          <w:lang w:eastAsia="es-MX"/>
        </w:rPr>
        <w:t>A</w:t>
      </w:r>
      <w:r w:rsidRPr="00BB6A27">
        <w:rPr>
          <w:rFonts w:ascii="Montserrat" w:hAnsi="Montserrat"/>
          <w:sz w:val="20"/>
          <w:lang w:eastAsia="es-MX"/>
        </w:rPr>
        <w:t>decuación</w:t>
      </w:r>
      <w:r w:rsidRPr="00531E2E">
        <w:rPr>
          <w:rFonts w:ascii="Montserrat" w:hAnsi="Montserrat"/>
          <w:sz w:val="20"/>
          <w:lang w:eastAsia="es-MX"/>
        </w:rPr>
        <w:t>, disponible</w:t>
      </w:r>
      <w:r>
        <w:rPr>
          <w:rFonts w:ascii="Montserrat" w:hAnsi="Montserrat"/>
          <w:sz w:val="20"/>
          <w:lang w:eastAsia="es-MX"/>
        </w:rPr>
        <w:t>s</w:t>
      </w:r>
      <w:r w:rsidRPr="00531E2E">
        <w:rPr>
          <w:rFonts w:ascii="Montserrat" w:hAnsi="Montserrat"/>
          <w:sz w:val="20"/>
          <w:lang w:eastAsia="es-MX"/>
        </w:rPr>
        <w:t xml:space="preserve"> en el portal oficial de la Dirección General de Educación Superior para el Magisterio</w:t>
      </w:r>
      <w:r>
        <w:rPr>
          <w:rFonts w:ascii="Montserrat" w:hAnsi="Montserrat"/>
          <w:sz w:val="20"/>
          <w:lang w:eastAsia="es-MX"/>
        </w:rPr>
        <w:t>:</w:t>
      </w:r>
      <w:r w:rsidRPr="00531E2E">
        <w:rPr>
          <w:rFonts w:ascii="Montserrat" w:hAnsi="Montserrat"/>
          <w:sz w:val="20"/>
          <w:lang w:eastAsia="es-MX"/>
        </w:rPr>
        <w:t xml:space="preserve"> </w:t>
      </w:r>
      <w:r w:rsidRPr="00531E2E">
        <w:rPr>
          <w:rFonts w:ascii="Montserrat" w:hAnsi="Montserrat"/>
          <w:sz w:val="20"/>
          <w:u w:val="single"/>
          <w:lang w:eastAsia="es-MX"/>
        </w:rPr>
        <w:t>dgesum.sep.gob.mx</w:t>
      </w:r>
      <w:r>
        <w:rPr>
          <w:rFonts w:ascii="Montserrat" w:hAnsi="Montserrat"/>
          <w:sz w:val="20"/>
          <w:u w:val="single"/>
          <w:lang w:eastAsia="es-MX"/>
        </w:rPr>
        <w:t xml:space="preserve"> </w:t>
      </w:r>
    </w:p>
    <w:p w14:paraId="3CAD70C7" w14:textId="3D45E5DB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9D354D">
        <w:rPr>
          <w:rFonts w:ascii="Montserrat" w:hAnsi="Montserrat"/>
          <w:b/>
          <w:bCs/>
          <w:sz w:val="20"/>
          <w:lang w:eastAsia="es-MX"/>
        </w:rPr>
        <w:t xml:space="preserve">III. </w:t>
      </w:r>
      <w:r w:rsidRPr="009D354D">
        <w:rPr>
          <w:rFonts w:ascii="Montserrat" w:hAnsi="Montserrat"/>
          <w:sz w:val="20"/>
          <w:lang w:eastAsia="es-MX"/>
        </w:rPr>
        <w:t xml:space="preserve">Las AEL </w:t>
      </w:r>
      <w:r>
        <w:rPr>
          <w:rFonts w:ascii="Montserrat" w:hAnsi="Montserrat"/>
          <w:sz w:val="20"/>
          <w:lang w:eastAsia="es-MX"/>
        </w:rPr>
        <w:t xml:space="preserve">y la AEFCM </w:t>
      </w:r>
      <w:r w:rsidRPr="009D354D">
        <w:rPr>
          <w:rFonts w:ascii="Montserrat" w:hAnsi="Montserrat"/>
          <w:sz w:val="20"/>
          <w:lang w:eastAsia="es-MX"/>
        </w:rPr>
        <w:t>postulantes</w:t>
      </w:r>
      <w:r>
        <w:rPr>
          <w:rFonts w:ascii="Montserrat" w:hAnsi="Montserrat"/>
          <w:b/>
          <w:bCs/>
          <w:sz w:val="20"/>
          <w:lang w:eastAsia="es-MX"/>
        </w:rPr>
        <w:t xml:space="preserve"> </w:t>
      </w:r>
      <w:r>
        <w:rPr>
          <w:rFonts w:ascii="Montserrat" w:hAnsi="Montserrat"/>
          <w:sz w:val="20"/>
          <w:lang w:eastAsia="es-MX"/>
        </w:rPr>
        <w:t>e</w:t>
      </w:r>
      <w:r w:rsidRPr="009D354D">
        <w:rPr>
          <w:rFonts w:ascii="Montserrat" w:hAnsi="Montserrat"/>
          <w:sz w:val="20"/>
          <w:lang w:eastAsia="es-MX"/>
        </w:rPr>
        <w:t>ntregar</w:t>
      </w:r>
      <w:r>
        <w:rPr>
          <w:rFonts w:ascii="Montserrat" w:hAnsi="Montserrat"/>
          <w:sz w:val="20"/>
          <w:lang w:eastAsia="es-MX"/>
        </w:rPr>
        <w:t>án</w:t>
      </w:r>
      <w:r w:rsidRPr="00CE2DE1">
        <w:rPr>
          <w:rFonts w:ascii="Montserrat" w:hAnsi="Montserrat"/>
          <w:sz w:val="20"/>
          <w:lang w:eastAsia="es-MX"/>
        </w:rPr>
        <w:t xml:space="preserve"> los documentos de la </w:t>
      </w:r>
      <w:r>
        <w:rPr>
          <w:rFonts w:ascii="Montserrat" w:hAnsi="Montserrat"/>
          <w:sz w:val="20"/>
          <w:lang w:eastAsia="es-MX"/>
        </w:rPr>
        <w:t>Adecuación de</w:t>
      </w:r>
      <w:r w:rsidR="00C14D96">
        <w:rPr>
          <w:rFonts w:ascii="Montserrat" w:hAnsi="Montserrat"/>
          <w:sz w:val="20"/>
          <w:lang w:eastAsia="es-MX"/>
        </w:rPr>
        <w:t xml:space="preserve"> </w:t>
      </w:r>
      <w:r>
        <w:rPr>
          <w:rFonts w:ascii="Montserrat" w:hAnsi="Montserrat"/>
          <w:sz w:val="20"/>
          <w:lang w:eastAsia="es-MX"/>
        </w:rPr>
        <w:t xml:space="preserve">los ProGEN, y los ProFEN y proyectos integrales que los constituyen de la </w:t>
      </w:r>
      <w:r w:rsidRPr="00CE2DE1">
        <w:rPr>
          <w:rFonts w:ascii="Montserrat" w:hAnsi="Montserrat"/>
          <w:sz w:val="20"/>
          <w:lang w:eastAsia="es-MX"/>
        </w:rPr>
        <w:t>entidad</w:t>
      </w:r>
      <w:r>
        <w:rPr>
          <w:rFonts w:ascii="Montserrat" w:hAnsi="Montserrat"/>
          <w:sz w:val="20"/>
          <w:lang w:eastAsia="es-MX"/>
        </w:rPr>
        <w:t>,</w:t>
      </w:r>
      <w:r w:rsidRPr="00CE2DE1">
        <w:rPr>
          <w:rFonts w:ascii="Montserrat" w:hAnsi="Montserrat"/>
          <w:sz w:val="20"/>
          <w:lang w:eastAsia="es-MX"/>
        </w:rPr>
        <w:t xml:space="preserve"> el día y en la hora establecida por la DGESuM</w:t>
      </w:r>
      <w:r>
        <w:rPr>
          <w:rFonts w:ascii="Montserrat" w:hAnsi="Montserrat"/>
          <w:sz w:val="20"/>
          <w:lang w:eastAsia="es-MX"/>
        </w:rPr>
        <w:t>.</w:t>
      </w:r>
    </w:p>
    <w:p w14:paraId="64CC4FC4" w14:textId="70CE2671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  <w:r w:rsidRPr="009D354D">
        <w:rPr>
          <w:rFonts w:ascii="Montserrat" w:hAnsi="Montserrat"/>
          <w:b/>
          <w:bCs/>
          <w:sz w:val="20"/>
          <w:lang w:eastAsia="es-MX"/>
        </w:rPr>
        <w:t>IV</w:t>
      </w:r>
      <w:r>
        <w:rPr>
          <w:rFonts w:ascii="Montserrat" w:hAnsi="Montserrat"/>
          <w:sz w:val="20"/>
          <w:lang w:eastAsia="es-MX"/>
        </w:rPr>
        <w:t>. La DGESUM emitirá el acta de entrega-recepción de los documentos con la cual las AEL y la AEFCM acceden a ser evaluados por los Comités de Pares Académicos en la Reunión Nacional de Dictaminación.</w:t>
      </w:r>
    </w:p>
    <w:p w14:paraId="4BE793A1" w14:textId="77777777" w:rsidR="00C14D96" w:rsidRDefault="00C14D96" w:rsidP="00C14D96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tbl>
      <w:tblPr>
        <w:tblStyle w:val="Tabladelista2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</w:tblGrid>
      <w:tr w:rsidR="00C14D96" w:rsidRPr="00531E2E" w14:paraId="32A17DD1" w14:textId="77777777" w:rsidTr="005B1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</w:tcPr>
          <w:p w14:paraId="0E17659A" w14:textId="32118537" w:rsidR="00C14D96" w:rsidRPr="00531E2E" w:rsidRDefault="00C14D96" w:rsidP="00C14D96">
            <w:pPr>
              <w:pStyle w:val="Default"/>
              <w:jc w:val="both"/>
              <w:rPr>
                <w:rFonts w:ascii="Montserrat" w:hAnsi="Montserrat" w:cs="Arial"/>
                <w:color w:val="auto"/>
                <w:sz w:val="20"/>
              </w:rPr>
            </w:pPr>
            <w:r>
              <w:rPr>
                <w:rFonts w:ascii="Montserrat" w:hAnsi="Montserrat" w:cs="Arial"/>
                <w:color w:val="auto"/>
                <w:sz w:val="20"/>
              </w:rPr>
              <w:t xml:space="preserve">PUBLICACIÓN DE RESULTADOS </w:t>
            </w:r>
          </w:p>
        </w:tc>
      </w:tr>
    </w:tbl>
    <w:p w14:paraId="78648F97" w14:textId="77777777" w:rsidR="00C14D96" w:rsidRDefault="00C14D96" w:rsidP="00C14D96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p w14:paraId="44E59DCC" w14:textId="2E0F68E8" w:rsidR="00C14D96" w:rsidRPr="00531E2E" w:rsidRDefault="00C14D96" w:rsidP="00C14D96">
      <w:pPr>
        <w:pStyle w:val="Texto"/>
        <w:spacing w:line="240" w:lineRule="auto"/>
        <w:ind w:firstLine="0"/>
        <w:rPr>
          <w:rFonts w:ascii="Montserrat" w:hAnsi="Montserrat"/>
          <w:color w:val="000000"/>
          <w:sz w:val="20"/>
          <w:lang w:eastAsia="es-MX"/>
        </w:rPr>
      </w:pPr>
      <w:r>
        <w:rPr>
          <w:rFonts w:ascii="Montserrat" w:hAnsi="Montserrat"/>
          <w:sz w:val="20"/>
          <w:lang w:eastAsia="es-MX"/>
        </w:rPr>
        <w:t xml:space="preserve">La </w:t>
      </w:r>
      <w:r w:rsidRPr="00531E2E">
        <w:rPr>
          <w:rFonts w:ascii="Montserrat" w:hAnsi="Montserrat"/>
          <w:sz w:val="20"/>
          <w:lang w:eastAsia="es-MX"/>
        </w:rPr>
        <w:t>Dirección General de Educación Superior para el Magisterio (DGESuM)</w:t>
      </w:r>
      <w:r>
        <w:rPr>
          <w:rFonts w:ascii="Montserrat" w:hAnsi="Montserrat"/>
          <w:sz w:val="20"/>
          <w:lang w:eastAsia="es-MX"/>
        </w:rPr>
        <w:t xml:space="preserve">, notificará </w:t>
      </w:r>
      <w:r>
        <w:rPr>
          <w:rFonts w:ascii="Montserrat" w:hAnsi="Montserrat"/>
          <w:sz w:val="20"/>
          <w:lang w:eastAsia="es-MX"/>
        </w:rPr>
        <w:t>mediante oficio</w:t>
      </w:r>
      <w:r>
        <w:rPr>
          <w:rFonts w:ascii="Montserrat" w:hAnsi="Montserrat"/>
          <w:sz w:val="20"/>
          <w:lang w:eastAsia="es-MX"/>
        </w:rPr>
        <w:t xml:space="preserve"> los resultados de la dictaminación a </w:t>
      </w:r>
      <w:r w:rsidRPr="00531E2E">
        <w:rPr>
          <w:rFonts w:ascii="Montserrat" w:hAnsi="Montserrat"/>
          <w:sz w:val="20"/>
          <w:lang w:eastAsia="es-MX"/>
        </w:rPr>
        <w:t xml:space="preserve">las </w:t>
      </w:r>
      <w:r>
        <w:rPr>
          <w:rFonts w:ascii="Montserrat" w:hAnsi="Montserrat"/>
          <w:sz w:val="20"/>
          <w:lang w:eastAsia="es-MX"/>
        </w:rPr>
        <w:t>Autoridades Educativas Locales</w:t>
      </w:r>
      <w:r w:rsidR="007F0133">
        <w:rPr>
          <w:rFonts w:ascii="Montserrat" w:hAnsi="Montserrat"/>
          <w:sz w:val="20"/>
          <w:lang w:eastAsia="es-MX"/>
        </w:rPr>
        <w:t xml:space="preserve"> y </w:t>
      </w:r>
      <w:r w:rsidR="007F0133" w:rsidRPr="00531E2E">
        <w:rPr>
          <w:rFonts w:ascii="Montserrat" w:hAnsi="Montserrat"/>
          <w:sz w:val="20"/>
          <w:lang w:eastAsia="es-MX"/>
        </w:rPr>
        <w:t>la Autoridad Educativa Federal en la Ciudad de México (AEFCM)</w:t>
      </w:r>
      <w:r>
        <w:rPr>
          <w:rFonts w:ascii="Montserrat" w:hAnsi="Montserrat"/>
          <w:sz w:val="20"/>
          <w:lang w:eastAsia="es-MX"/>
        </w:rPr>
        <w:t xml:space="preserve">, una vez que la Secretaría de Educación Pública haya asignado los recursos y solicitado la firma de los Convenios de Colaboración o Lineamientos Internos de Coordinación. </w:t>
      </w:r>
    </w:p>
    <w:p w14:paraId="29736B49" w14:textId="77777777" w:rsidR="00C14D96" w:rsidRDefault="00C14D96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tbl>
      <w:tblPr>
        <w:tblStyle w:val="Tabladelista2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</w:tblGrid>
      <w:tr w:rsidR="00AF5315" w:rsidRPr="00531E2E" w14:paraId="5DFBE6CE" w14:textId="77777777" w:rsidTr="005B1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2F2F2" w:themeFill="background1" w:themeFillShade="F2"/>
          </w:tcPr>
          <w:p w14:paraId="2E49BD9C" w14:textId="77777777" w:rsidR="00AF5315" w:rsidRPr="00531E2E" w:rsidRDefault="00AF5315" w:rsidP="00460C27">
            <w:pPr>
              <w:pStyle w:val="Default"/>
              <w:jc w:val="center"/>
              <w:rPr>
                <w:rFonts w:ascii="Montserrat" w:hAnsi="Montserrat" w:cs="Arial"/>
                <w:color w:val="auto"/>
                <w:sz w:val="20"/>
              </w:rPr>
            </w:pPr>
            <w:r>
              <w:rPr>
                <w:rFonts w:ascii="Montserrat" w:hAnsi="Montserrat" w:cs="Arial"/>
                <w:color w:val="auto"/>
                <w:sz w:val="20"/>
              </w:rPr>
              <w:t>INFORMES Y ACLARACIONES</w:t>
            </w:r>
          </w:p>
        </w:tc>
      </w:tr>
    </w:tbl>
    <w:p w14:paraId="23D26493" w14:textId="77777777" w:rsidR="00AF5315" w:rsidRDefault="00AF5315" w:rsidP="00AF5315">
      <w:pPr>
        <w:pStyle w:val="Texto"/>
        <w:spacing w:line="240" w:lineRule="auto"/>
        <w:ind w:firstLine="0"/>
        <w:rPr>
          <w:rFonts w:ascii="Montserrat" w:hAnsi="Montserrat"/>
          <w:sz w:val="20"/>
          <w:lang w:eastAsia="es-MX"/>
        </w:rPr>
      </w:pPr>
    </w:p>
    <w:p w14:paraId="596918EB" w14:textId="77777777" w:rsidR="00AF5315" w:rsidRPr="00531E2E" w:rsidRDefault="00AF5315" w:rsidP="00AF5315">
      <w:pPr>
        <w:pStyle w:val="Texto"/>
        <w:spacing w:line="240" w:lineRule="auto"/>
        <w:ind w:firstLine="0"/>
        <w:rPr>
          <w:rFonts w:ascii="Montserrat" w:hAnsi="Montserrat"/>
          <w:color w:val="000000"/>
          <w:sz w:val="20"/>
          <w:lang w:eastAsia="es-MX"/>
        </w:rPr>
      </w:pPr>
      <w:r w:rsidRPr="00531E2E">
        <w:rPr>
          <w:rFonts w:ascii="Montserrat" w:hAnsi="Montserrat"/>
          <w:sz w:val="20"/>
          <w:lang w:eastAsia="es-MX"/>
        </w:rPr>
        <w:t xml:space="preserve">Para dudas y aclaraciones que se deriven de la presente Convocatoria, las </w:t>
      </w:r>
      <w:r>
        <w:rPr>
          <w:rFonts w:ascii="Montserrat" w:hAnsi="Montserrat"/>
          <w:sz w:val="20"/>
          <w:lang w:eastAsia="es-MX"/>
        </w:rPr>
        <w:t xml:space="preserve">Autoridades Educativas Locales </w:t>
      </w:r>
      <w:r w:rsidRPr="00531E2E">
        <w:rPr>
          <w:rFonts w:ascii="Montserrat" w:hAnsi="Montserrat"/>
          <w:sz w:val="20"/>
          <w:lang w:eastAsia="es-MX"/>
        </w:rPr>
        <w:t xml:space="preserve">podrán contactarse con la Dirección General de Educación Superior para el Magisterio (DGESuM), </w:t>
      </w:r>
      <w:r>
        <w:rPr>
          <w:rFonts w:ascii="Montserrat" w:hAnsi="Montserrat"/>
          <w:sz w:val="20"/>
          <w:lang w:eastAsia="es-MX"/>
        </w:rPr>
        <w:t xml:space="preserve">ubicada en </w:t>
      </w:r>
      <w:r w:rsidRPr="00531E2E">
        <w:rPr>
          <w:rFonts w:ascii="Montserrat" w:hAnsi="Montserrat"/>
          <w:color w:val="000000"/>
          <w:sz w:val="20"/>
          <w:lang w:eastAsia="es-MX"/>
        </w:rPr>
        <w:t>Av. Universidad No. 1200 Colonia Xoco, Alcaldía Coyoacán, C. P. 03330, Ciudad de México, o bien comunicarse a los teléfonos</w:t>
      </w:r>
      <w:r>
        <w:rPr>
          <w:rFonts w:ascii="Montserrat" w:hAnsi="Montserrat"/>
          <w:color w:val="000000"/>
          <w:sz w:val="20"/>
          <w:lang w:eastAsia="es-MX"/>
        </w:rPr>
        <w:t xml:space="preserve"> </w:t>
      </w:r>
      <w:r w:rsidRPr="00531E2E">
        <w:rPr>
          <w:rFonts w:ascii="Montserrat" w:hAnsi="Montserrat"/>
          <w:color w:val="000000"/>
          <w:sz w:val="20"/>
          <w:lang w:eastAsia="es-MX"/>
        </w:rPr>
        <w:t>(55) 3600-2511 extensión 53575</w:t>
      </w:r>
    </w:p>
    <w:p w14:paraId="2FEDCE15" w14:textId="77777777" w:rsidR="00AF5315" w:rsidRDefault="00AF5315" w:rsidP="00AF5315">
      <w:pPr>
        <w:pStyle w:val="Texto"/>
        <w:spacing w:line="240" w:lineRule="auto"/>
        <w:ind w:firstLine="0"/>
        <w:jc w:val="center"/>
        <w:rPr>
          <w:rFonts w:ascii="Montserrat" w:hAnsi="Montserrat"/>
          <w:b/>
          <w:color w:val="000000"/>
          <w:sz w:val="20"/>
          <w:lang w:eastAsia="es-MX"/>
        </w:rPr>
      </w:pPr>
    </w:p>
    <w:p w14:paraId="5107C5E2" w14:textId="266B15B6" w:rsidR="00AF5315" w:rsidRPr="00531E2E" w:rsidRDefault="00AF5315" w:rsidP="00AF5315">
      <w:pPr>
        <w:pStyle w:val="Texto"/>
        <w:spacing w:line="240" w:lineRule="auto"/>
        <w:ind w:firstLine="0"/>
        <w:jc w:val="center"/>
        <w:rPr>
          <w:rFonts w:ascii="Montserrat" w:hAnsi="Montserrat"/>
          <w:b/>
          <w:color w:val="000000"/>
          <w:sz w:val="20"/>
          <w:lang w:eastAsia="es-MX"/>
        </w:rPr>
      </w:pPr>
      <w:r w:rsidRPr="00531E2E">
        <w:rPr>
          <w:rFonts w:ascii="Montserrat" w:hAnsi="Montserrat"/>
          <w:b/>
          <w:color w:val="000000"/>
          <w:sz w:val="20"/>
          <w:lang w:eastAsia="es-MX"/>
        </w:rPr>
        <w:t>Ciudad de México</w:t>
      </w:r>
      <w:r>
        <w:rPr>
          <w:rFonts w:ascii="Montserrat" w:hAnsi="Montserrat"/>
          <w:b/>
          <w:color w:val="000000"/>
          <w:sz w:val="20"/>
          <w:lang w:eastAsia="es-MX"/>
        </w:rPr>
        <w:t xml:space="preserve"> a febrero del 2025</w:t>
      </w:r>
      <w:r w:rsidRPr="00531E2E">
        <w:rPr>
          <w:rFonts w:ascii="Montserrat" w:hAnsi="Montserrat"/>
          <w:b/>
          <w:color w:val="000000"/>
          <w:sz w:val="20"/>
          <w:lang w:eastAsia="es-MX"/>
        </w:rPr>
        <w:t xml:space="preserve"> </w:t>
      </w:r>
    </w:p>
    <w:p w14:paraId="323F492B" w14:textId="77777777" w:rsidR="00AF5315" w:rsidRPr="00531E2E" w:rsidRDefault="00AF5315" w:rsidP="00AF5315">
      <w:pPr>
        <w:rPr>
          <w:rFonts w:ascii="Montserrat" w:hAnsi="Montserrat"/>
          <w:sz w:val="20"/>
          <w:szCs w:val="20"/>
        </w:rPr>
      </w:pPr>
    </w:p>
    <w:p w14:paraId="40E6B6D6" w14:textId="77777777" w:rsidR="00AF5315" w:rsidRPr="00531E2E" w:rsidRDefault="00AF5315" w:rsidP="00AF5315">
      <w:pPr>
        <w:rPr>
          <w:rFonts w:ascii="Montserrat" w:hAnsi="Montserrat"/>
          <w:sz w:val="20"/>
          <w:szCs w:val="20"/>
        </w:rPr>
      </w:pPr>
    </w:p>
    <w:p w14:paraId="368DA1F8" w14:textId="77777777" w:rsidR="002C751C" w:rsidRPr="00AF5315" w:rsidRDefault="002C751C" w:rsidP="00AF5315"/>
    <w:sectPr w:rsidR="002C751C" w:rsidRPr="00AF5315" w:rsidSect="008C0F37">
      <w:headerReference w:type="default" r:id="rId7"/>
      <w:footerReference w:type="default" r:id="rId8"/>
      <w:pgSz w:w="12240" w:h="15840"/>
      <w:pgMar w:top="2341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CA009" w14:textId="77777777" w:rsidR="00035C51" w:rsidRDefault="00035C51" w:rsidP="007C2AD6">
      <w:r>
        <w:separator/>
      </w:r>
    </w:p>
  </w:endnote>
  <w:endnote w:type="continuationSeparator" w:id="0">
    <w:p w14:paraId="75351609" w14:textId="77777777" w:rsidR="00035C51" w:rsidRDefault="00035C51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0E1FB181">
              <wp:simplePos x="0" y="0"/>
              <wp:positionH relativeFrom="margin">
                <wp:posOffset>1155065</wp:posOffset>
              </wp:positionH>
              <wp:positionV relativeFrom="paragraph">
                <wp:posOffset>-583565</wp:posOffset>
              </wp:positionV>
              <wp:extent cx="510540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F0566" w14:textId="77777777" w:rsidR="005C32BF" w:rsidRPr="005C32BF" w:rsidRDefault="005C32BF" w:rsidP="005C32BF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5C32BF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Av. Universidad No. 1200, Col. Xoco, Alcaldía Benito Juárez, C.P. 03330, Ciudad de México. Tel: (55) 36002500 Ext. 53554     dgesum.sep.gob.mx</w:t>
                          </w:r>
                        </w:p>
                        <w:p w14:paraId="155D3D22" w14:textId="77777777" w:rsidR="002B1FE9" w:rsidRPr="00635419" w:rsidRDefault="002B1FE9" w:rsidP="00C71959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4CF98270" w14:textId="286D5F15" w:rsidR="00470118" w:rsidRPr="00635419" w:rsidRDefault="00470118" w:rsidP="00C71959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0.95pt;margin-top:-45.95pt;width:402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" filled="f" stroked="f" strokeweight=".5pt">
              <v:textbox>
                <w:txbxContent>
                  <w:p w14:paraId="139F0566" w14:textId="77777777" w:rsidR="005C32BF" w:rsidRPr="005C32BF" w:rsidRDefault="005C32BF" w:rsidP="005C32BF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5C32BF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Av. Universidad No. 1200, Col. Xoco, Alcaldía Benito Juárez, C.P. 03330, Ciudad de México. Tel: (55) 36002500 Ext. 53554     dgesum.sep.gob.mx</w:t>
                    </w:r>
                  </w:p>
                  <w:p w14:paraId="155D3D22" w14:textId="77777777" w:rsidR="002B1FE9" w:rsidRPr="00635419" w:rsidRDefault="002B1FE9" w:rsidP="00C71959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4CF98270" w14:textId="286D5F15" w:rsidR="00470118" w:rsidRPr="00635419" w:rsidRDefault="00470118" w:rsidP="00C71959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5055" w14:textId="77777777" w:rsidR="00035C51" w:rsidRDefault="00035C51" w:rsidP="007C2AD6">
      <w:r>
        <w:separator/>
      </w:r>
    </w:p>
  </w:footnote>
  <w:footnote w:type="continuationSeparator" w:id="0">
    <w:p w14:paraId="21D8F0B5" w14:textId="77777777" w:rsidR="00035C51" w:rsidRDefault="00035C51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113A" w14:textId="3F7DFC6F" w:rsidR="00732DE3" w:rsidRDefault="00AE448E" w:rsidP="003676F1">
    <w:pPr>
      <w:pStyle w:val="Encabezado"/>
      <w:tabs>
        <w:tab w:val="clear" w:pos="8838"/>
      </w:tabs>
      <w:ind w:right="474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63360" behindDoc="1" locked="0" layoutInCell="1" allowOverlap="1" wp14:anchorId="5F49FC9F" wp14:editId="729C937B">
          <wp:simplePos x="0" y="0"/>
          <wp:positionH relativeFrom="column">
            <wp:posOffset>-1104900</wp:posOffset>
          </wp:positionH>
          <wp:positionV relativeFrom="paragraph">
            <wp:posOffset>-457835</wp:posOffset>
          </wp:positionV>
          <wp:extent cx="7808845" cy="10105200"/>
          <wp:effectExtent l="0" t="0" r="1905" b="4445"/>
          <wp:wrapNone/>
          <wp:docPr id="508875617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845" cy="10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7D58D" w14:textId="55907A14" w:rsidR="00E1043F" w:rsidRDefault="003676F1" w:rsidP="00761D06">
    <w:pPr>
      <w:pStyle w:val="Encabezado"/>
      <w:tabs>
        <w:tab w:val="clear" w:pos="8838"/>
      </w:tabs>
      <w:ind w:left="4678" w:right="474"/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Secretaría de Educación Pública</w:t>
    </w:r>
  </w:p>
  <w:p w14:paraId="0851C375" w14:textId="0603A8E8" w:rsidR="005C32BF" w:rsidRDefault="003676F1" w:rsidP="00761D06">
    <w:pPr>
      <w:pStyle w:val="Encabezado"/>
      <w:tabs>
        <w:tab w:val="clear" w:pos="8838"/>
      </w:tabs>
      <w:ind w:left="4678" w:right="474"/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Dirección General</w:t>
    </w:r>
    <w:r w:rsidR="005C32BF">
      <w:rPr>
        <w:rFonts w:ascii="Noto Sans" w:hAnsi="Noto Sans" w:cs="Noto Sans"/>
        <w:sz w:val="18"/>
        <w:szCs w:val="18"/>
      </w:rPr>
      <w:t xml:space="preserve"> de Educación Superior</w:t>
    </w:r>
  </w:p>
  <w:p w14:paraId="36A2E9E4" w14:textId="7A28BFC4" w:rsidR="003676F1" w:rsidRDefault="005C32BF" w:rsidP="00761D06">
    <w:pPr>
      <w:pStyle w:val="Encabezado"/>
      <w:tabs>
        <w:tab w:val="clear" w:pos="8838"/>
      </w:tabs>
      <w:ind w:left="4678" w:right="474"/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para el Magisterio</w:t>
    </w:r>
  </w:p>
  <w:p w14:paraId="237CCD0A" w14:textId="475DBD66" w:rsidR="003676F1" w:rsidRDefault="003676F1" w:rsidP="003676F1">
    <w:pPr>
      <w:pStyle w:val="Encabezado"/>
      <w:tabs>
        <w:tab w:val="clear" w:pos="8838"/>
      </w:tabs>
      <w:ind w:right="47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B74DB"/>
    <w:multiLevelType w:val="hybridMultilevel"/>
    <w:tmpl w:val="6E343A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0EAA"/>
    <w:rsid w:val="00012004"/>
    <w:rsid w:val="00035C51"/>
    <w:rsid w:val="000D2631"/>
    <w:rsid w:val="00111B44"/>
    <w:rsid w:val="00126419"/>
    <w:rsid w:val="001447FE"/>
    <w:rsid w:val="001824F1"/>
    <w:rsid w:val="001B4F83"/>
    <w:rsid w:val="001F4A6F"/>
    <w:rsid w:val="002218FB"/>
    <w:rsid w:val="002835B9"/>
    <w:rsid w:val="002A160E"/>
    <w:rsid w:val="002B1FE9"/>
    <w:rsid w:val="002C751C"/>
    <w:rsid w:val="002E59D1"/>
    <w:rsid w:val="002F2C10"/>
    <w:rsid w:val="00313618"/>
    <w:rsid w:val="003334DC"/>
    <w:rsid w:val="003676F1"/>
    <w:rsid w:val="003D6319"/>
    <w:rsid w:val="003E5417"/>
    <w:rsid w:val="00444C36"/>
    <w:rsid w:val="00470118"/>
    <w:rsid w:val="00492F7E"/>
    <w:rsid w:val="00522F61"/>
    <w:rsid w:val="00550431"/>
    <w:rsid w:val="005B15E0"/>
    <w:rsid w:val="005C32BF"/>
    <w:rsid w:val="005C56A7"/>
    <w:rsid w:val="005F226D"/>
    <w:rsid w:val="00604E72"/>
    <w:rsid w:val="00635419"/>
    <w:rsid w:val="006737F7"/>
    <w:rsid w:val="006A1881"/>
    <w:rsid w:val="006A53B9"/>
    <w:rsid w:val="006E078E"/>
    <w:rsid w:val="006F361B"/>
    <w:rsid w:val="00732DE3"/>
    <w:rsid w:val="007368A0"/>
    <w:rsid w:val="00750374"/>
    <w:rsid w:val="00761D06"/>
    <w:rsid w:val="00776B1C"/>
    <w:rsid w:val="00780AE7"/>
    <w:rsid w:val="007C2AD6"/>
    <w:rsid w:val="007F0133"/>
    <w:rsid w:val="007F0328"/>
    <w:rsid w:val="00815FD6"/>
    <w:rsid w:val="0081674A"/>
    <w:rsid w:val="00884F7E"/>
    <w:rsid w:val="008C0F37"/>
    <w:rsid w:val="008D2B74"/>
    <w:rsid w:val="0097578B"/>
    <w:rsid w:val="00984B9D"/>
    <w:rsid w:val="00991D6F"/>
    <w:rsid w:val="00A124AD"/>
    <w:rsid w:val="00A435DA"/>
    <w:rsid w:val="00A90786"/>
    <w:rsid w:val="00AA4EF3"/>
    <w:rsid w:val="00AC5936"/>
    <w:rsid w:val="00AE448E"/>
    <w:rsid w:val="00AF0D1E"/>
    <w:rsid w:val="00AF5069"/>
    <w:rsid w:val="00AF5315"/>
    <w:rsid w:val="00B464EC"/>
    <w:rsid w:val="00B620ED"/>
    <w:rsid w:val="00BA7705"/>
    <w:rsid w:val="00C14D96"/>
    <w:rsid w:val="00C2604C"/>
    <w:rsid w:val="00C71959"/>
    <w:rsid w:val="00C869B0"/>
    <w:rsid w:val="00C86C7B"/>
    <w:rsid w:val="00D42674"/>
    <w:rsid w:val="00DC0846"/>
    <w:rsid w:val="00DE4470"/>
    <w:rsid w:val="00E1043F"/>
    <w:rsid w:val="00E27F9E"/>
    <w:rsid w:val="00E928A0"/>
    <w:rsid w:val="00EB1722"/>
    <w:rsid w:val="00EF7B96"/>
    <w:rsid w:val="00F56D48"/>
    <w:rsid w:val="00FD6054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customStyle="1" w:styleId="Texto">
    <w:name w:val="Texto"/>
    <w:basedOn w:val="Normal"/>
    <w:link w:val="TextoCar"/>
    <w:qFormat/>
    <w:rsid w:val="00AF531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F5315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Default">
    <w:name w:val="Default"/>
    <w:rsid w:val="00AF5315"/>
    <w:rPr>
      <w:rFonts w:ascii="CaAibri" w:eastAsia="Times New Roman" w:hAnsi="CaAibri" w:cs="CaAibri"/>
      <w:color w:val="000000"/>
      <w:kern w:val="0"/>
      <w:szCs w:val="20"/>
      <w:lang w:eastAsia="es-MX"/>
      <w14:ligatures w14:val="none"/>
    </w:rPr>
  </w:style>
  <w:style w:type="table" w:styleId="Tabladelista2">
    <w:name w:val="List Table 2"/>
    <w:basedOn w:val="Tablanormal"/>
    <w:uiPriority w:val="47"/>
    <w:rsid w:val="00AF5315"/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Rebeca Rodríguez Capetillo</cp:lastModifiedBy>
  <cp:revision>7</cp:revision>
  <cp:lastPrinted>2024-10-03T00:50:00Z</cp:lastPrinted>
  <dcterms:created xsi:type="dcterms:W3CDTF">2025-01-31T23:06:00Z</dcterms:created>
  <dcterms:modified xsi:type="dcterms:W3CDTF">2025-01-31T23:35:00Z</dcterms:modified>
</cp:coreProperties>
</file>